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56" w:beforeLines="50" w:beforeAutospacing="0" w:after="156" w:afterLines="50" w:afterAutospacing="0" w:line="440" w:lineRule="exact"/>
        <w:jc w:val="center"/>
        <w:rPr>
          <w:rFonts w:hint="eastAsia" w:eastAsia="宋体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  <w:highlight w:val="none"/>
          <w:lang w:val="en-US" w:eastAsia="zh-CN"/>
        </w:rPr>
        <w:t>山东兆邦精细</w:t>
      </w:r>
      <w:r>
        <w:rPr>
          <w:rFonts w:hint="eastAsia"/>
          <w:b/>
          <w:sz w:val="44"/>
          <w:szCs w:val="44"/>
          <w:highlight w:val="none"/>
          <w:lang w:eastAsia="zh-CN"/>
        </w:rPr>
        <w:t>化工有限公司</w:t>
      </w:r>
    </w:p>
    <w:p>
      <w:pPr>
        <w:pStyle w:val="7"/>
        <w:spacing w:before="156" w:beforeLines="50" w:beforeAutospacing="0" w:after="156" w:afterLines="50" w:afterAutospacing="0" w:line="440" w:lineRule="exact"/>
        <w:jc w:val="center"/>
        <w:rPr>
          <w:b/>
          <w:sz w:val="44"/>
          <w:szCs w:val="44"/>
          <w:highlight w:val="none"/>
        </w:rPr>
      </w:pPr>
      <w:r>
        <w:rPr>
          <w:rFonts w:hint="eastAsia"/>
          <w:b/>
          <w:sz w:val="44"/>
          <w:szCs w:val="44"/>
          <w:highlight w:val="none"/>
        </w:rPr>
        <w:t>危险废物污染环境防治责任制度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hint="eastAsia" w:ascii="Arial" w:hAnsi="Arial" w:cs="Arial"/>
          <w:kern w:val="0"/>
          <w:sz w:val="28"/>
          <w:szCs w:val="28"/>
        </w:rPr>
        <w:t>一、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贯彻执行国家有关危险废物环境污染防治的法律、法规、政策和标准，加强对危险废物环境污染防治工作的管理，提高危险废物环境污染防治的水平，合理利用资源，保障人体健康，维护生态安全，促进经济、社会和环境的可持续发展，根据《中华人民共和国环境保护法》、《中华人民共和国固体废物污染环境防治法》及有关法律、法规的规定，结合本厂实际，制定本办法。　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Arial" w:hAnsi="Arial" w:cs="Arial"/>
          <w:kern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kern w:val="0"/>
          <w:sz w:val="28"/>
          <w:szCs w:val="28"/>
        </w:rPr>
        <w:t>二、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本制度是从组织上、制度上落实“管生产必须管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>环保</w:t>
      </w:r>
      <w:r>
        <w:rPr>
          <w:rFonts w:hint="eastAsia" w:ascii="Arial" w:hAnsi="Arial" w:cs="Arial"/>
          <w:kern w:val="0"/>
          <w:sz w:val="28"/>
          <w:szCs w:val="28"/>
        </w:rPr>
        <w:t>”的原则，使各级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、各职能部门、各生产部门和职工明确危险废物环境污染防治的责任，做到层层有责，各司其职，各负其责，做好危险废物环境污染防治工作，促进生产可持续发展。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ascii="Arial" w:hAnsi="Arial" w:cs="Arial"/>
          <w:kern w:val="0"/>
          <w:sz w:val="28"/>
          <w:szCs w:val="28"/>
        </w:rPr>
        <w:t xml:space="preserve">    </w:t>
      </w:r>
      <w:r>
        <w:rPr>
          <w:rFonts w:hint="eastAsia" w:ascii="Arial" w:hAnsi="Arial" w:cs="Arial"/>
          <w:kern w:val="0"/>
          <w:sz w:val="28"/>
          <w:szCs w:val="28"/>
        </w:rPr>
        <w:t>三、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本制度规定从公司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领导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到各部门在危险废物环境污染防治中的职责范围，凡本公司发生危险废物环境污染事故，以本制度追究责任。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四、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为保证本制度的有效执行，今后凡有行政体制变动，均以本制度规定的职责范围，对照落实相应的职能部门和责任人。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各部门和人员的职责：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一、 总经理的职责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认真贯彻国家有关危险废物环境污染防治的法律、法规、政策和标准，落实各级危险废物环境污染防治责任制，确保危险废物环境污染防治工作合理进行。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设置与企业规模相适应的危险废物环境污染防治管理机构，建立危险废物环境污染防治工作管理网络，配备专业或兼职危险废物环境污染防治专业人员，负责本公司的危险废物环境污染防治工作。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Arial" w:hAnsi="Arial" w:cs="Arial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每年向职工代表大会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企业危险废物环境污染防治工作规划和落实情况，主动听取职工对本企业危险废物环境污染防治工作的意见，并责成有关部门及时解决提出的合理建议和正当要求。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每年召开一次危险废物环境污染防治工作领导小组会议，听取工作汇报，亲自研究和制订年度危险废物环境污染防治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计划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与方案，落实危险废物环境污染防治所需经费，督促落实各项防范措施。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根据“三同时”原则，企业新、改、扩建或技术改造、技术引进项目可能产生危险废物污染事故的，应由环保部门审核同意方可进行建设，切实做到危险废物污染</w:t>
      </w:r>
      <w:r>
        <w:rPr>
          <w:rFonts w:hint="eastAsia" w:ascii="Arial" w:hAnsi="Arial" w:cs="Arial"/>
          <w:kern w:val="0"/>
          <w:sz w:val="28"/>
          <w:szCs w:val="28"/>
          <w:lang w:eastAsia="zh-CN"/>
        </w:rPr>
        <w:t>防治</w:t>
      </w:r>
      <w:r>
        <w:rPr>
          <w:rFonts w:hint="eastAsia" w:ascii="Arial" w:hAnsi="Arial" w:cs="Arial"/>
          <w:kern w:val="0"/>
          <w:sz w:val="28"/>
          <w:szCs w:val="28"/>
        </w:rPr>
        <w:t>设施与主体工程同时设计、同时施工、同时投入生产和使用。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亲自参加企业内发生危险废物环境污染防治事故的调查和分析，对有关责任人予以严肃处理。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对本公司的危险废物环境污染防治工作负全面领导责任。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</w:t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二、 企业危险废物环境污染防治工作领导小组职责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在总经理的领导下，根据国家有关危险废物环境污染防治的法律、法规、政策和标准的规定，在企业中具体组织实施各项危险废物环境污染防治工作，具体职责：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组织制订（修改）危险废物环境污染防治管理制度和操作规程，并督促执行。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根据企业机构设置，明确各部门、人员职责。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制订企业年度危险废物管理计划，并组织具体实施，保证经费的落实和使用。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直接领导本公司危险废物环境污染防治工作，建立企业危险废物环境污染防治管理台帐和档案。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组织对公司干部、职工进行危险废物环境污染防治法规、职业知识培训与宣传教育。对在危险废物环境污染防治工作中有贡献的进行表扬、奖励，对违章者、不履行职责者进行批评教育和处罚。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经常检查公司和各部门危险废物环境污染防治工作开展情况，对查出的问题及时研究，制订整改措施，落实部门按期解决。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7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经常听取各部门、车间、安技人员、职工关于危险废物环境污染防治有关情况的汇报，及时采取措施。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8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对企业内发生危险废物环境污染危害事故采取应急措施，及时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报告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，并协助有关部门调查和处理，对有关责任人予以严肃处理。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9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对本企业的危险废物环境污染防治工作负直接责任。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黑体" w:hAnsi="黑体" w:eastAsia="黑体" w:cs="Arial"/>
          <w:kern w:val="0"/>
          <w:sz w:val="28"/>
          <w:szCs w:val="28"/>
        </w:rPr>
        <w:t xml:space="preserve">　　三、专（兼）职危险废物环境污染防治专业人员职责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协助领导小组推动企业开展危险废物环境污染防治工作，贯彻执行国家法规和标准。汇总和审查各项技术措施、计划，并且督促有关部门切实按期执行。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组织对职工进行危险废物环境污染防治培训教育，</w:t>
      </w:r>
      <w:r>
        <w:rPr>
          <w:rFonts w:ascii="Arial" w:hAnsi="Arial" w:cs="Arial"/>
          <w:kern w:val="0"/>
          <w:sz w:val="28"/>
          <w:szCs w:val="28"/>
        </w:rPr>
        <w:fldChar w:fldCharType="begin"/>
      </w:r>
      <w:r>
        <w:rPr>
          <w:rFonts w:ascii="Arial" w:hAnsi="Arial" w:cs="Arial"/>
          <w:kern w:val="0"/>
          <w:sz w:val="28"/>
          <w:szCs w:val="28"/>
        </w:rPr>
        <w:instrText xml:space="preserve">HYPERLINK "http://www.5ykj.com/Article/" \t "_blank"</w:instrText>
      </w:r>
      <w:r>
        <w:rPr>
          <w:rFonts w:ascii="Arial" w:hAnsi="Arial" w:cs="Arial"/>
          <w:kern w:val="0"/>
          <w:sz w:val="28"/>
          <w:szCs w:val="28"/>
        </w:rPr>
        <w:fldChar w:fldCharType="separate"/>
      </w:r>
      <w:r>
        <w:rPr>
          <w:rFonts w:hint="eastAsia" w:ascii="Arial" w:hAnsi="Arial" w:cs="Arial"/>
          <w:kern w:val="0"/>
          <w:sz w:val="28"/>
          <w:szCs w:val="28"/>
        </w:rPr>
        <w:t>总结</w:t>
      </w:r>
      <w:r>
        <w:rPr>
          <w:rFonts w:ascii="Arial" w:hAnsi="Arial" w:cs="Arial"/>
          <w:kern w:val="0"/>
          <w:sz w:val="28"/>
          <w:szCs w:val="28"/>
        </w:rPr>
        <w:fldChar w:fldCharType="end"/>
      </w:r>
      <w:r>
        <w:rPr>
          <w:rFonts w:hint="eastAsia" w:ascii="Arial" w:hAnsi="Arial" w:cs="Arial"/>
          <w:kern w:val="0"/>
          <w:sz w:val="28"/>
          <w:szCs w:val="28"/>
        </w:rPr>
        <w:t>推广职业卫生管理先进经验。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定期组织现场检查，对检查中发现的不安全情况，有权责令改正，或立即报告领导小组研究处理。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负责危险废物环境污染事故报告，参加事故调查处理。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ascii="Arial" w:hAnsi="Arial" w:cs="Arial"/>
          <w:kern w:val="0"/>
          <w:sz w:val="28"/>
          <w:szCs w:val="28"/>
        </w:rPr>
        <w:br w:type="textWrapping"/>
      </w:r>
      <w:r>
        <w:rPr>
          <w:rFonts w:hint="eastAsia" w:ascii="Arial" w:hAnsi="Arial" w:cs="Arial"/>
          <w:kern w:val="0"/>
          <w:sz w:val="28"/>
          <w:szCs w:val="28"/>
        </w:rPr>
        <w:t>　　</w:t>
      </w: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  <w:r>
        <w:rPr>
          <w:rFonts w:hint="eastAsia" w:ascii="Arial" w:hAnsi="Arial" w:cs="Arial"/>
          <w:kern w:val="0"/>
          <w:sz w:val="28"/>
          <w:szCs w:val="28"/>
        </w:rPr>
        <w:t>负责建立企业危险废物环境污染防治管理台帐和档案，负责登录、存档、申报等工作。</w:t>
      </w:r>
      <w:r>
        <w:rPr>
          <w:rFonts w:ascii="Arial" w:hAnsi="Arial" w:cs="Arial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Arial"/>
          <w:kern w:val="0"/>
          <w:sz w:val="28"/>
          <w:szCs w:val="28"/>
        </w:rPr>
      </w:pPr>
      <w:r>
        <w:rPr>
          <w:rFonts w:hint="eastAsia" w:ascii="黑体" w:hAnsi="黑体" w:eastAsia="黑体" w:cs="Arial"/>
          <w:kern w:val="0"/>
          <w:sz w:val="28"/>
          <w:szCs w:val="28"/>
        </w:rPr>
        <w:t>四、危险废物操作岗位职责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1</w:t>
      </w:r>
      <w:r>
        <w:rPr>
          <w:rFonts w:hint="eastAsia" w:ascii="Arial" w:hAnsi="Arial" w:cs="Arial"/>
          <w:kern w:val="0"/>
          <w:sz w:val="28"/>
          <w:szCs w:val="28"/>
        </w:rPr>
        <w:t>、要了解危险废物的潜在危险性，做好劳动防护工作。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2</w:t>
      </w:r>
      <w:r>
        <w:rPr>
          <w:rFonts w:hint="eastAsia" w:ascii="Arial" w:hAnsi="Arial" w:cs="Arial"/>
          <w:kern w:val="0"/>
          <w:sz w:val="28"/>
          <w:szCs w:val="28"/>
        </w:rPr>
        <w:t>、贯彻国家、上级部门关于危险废物设施维修、维护保养及施工方面的安全规定、标准，遵守危险废物操作规程和管理制度。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3</w:t>
      </w:r>
      <w:r>
        <w:rPr>
          <w:rFonts w:hint="eastAsia" w:ascii="Arial" w:hAnsi="Arial" w:cs="Arial"/>
          <w:kern w:val="0"/>
          <w:sz w:val="28"/>
          <w:szCs w:val="28"/>
        </w:rPr>
        <w:t>、在制定改造方案和编制设备检修计划时，遵守相应的安全卫生、环保等措施内容，落实好相应的安全措施。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4</w:t>
      </w:r>
      <w:r>
        <w:rPr>
          <w:rFonts w:hint="eastAsia" w:ascii="Arial" w:hAnsi="Arial" w:cs="Arial"/>
          <w:kern w:val="0"/>
          <w:sz w:val="28"/>
          <w:szCs w:val="28"/>
        </w:rPr>
        <w:t>、积极参加学习危险废物知识培训，了解危险废物的危害。</w:t>
      </w:r>
    </w:p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5</w:t>
      </w:r>
      <w:r>
        <w:rPr>
          <w:rFonts w:hint="eastAsia" w:ascii="Arial" w:hAnsi="Arial" w:cs="Arial"/>
          <w:kern w:val="0"/>
          <w:sz w:val="28"/>
          <w:szCs w:val="28"/>
        </w:rPr>
        <w:t>、要对危险废物的使用情况进行监控，出现问题要及时汇报有关部门。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Arial" w:hAnsi="Arial" w:cs="Arial"/>
          <w:kern w:val="0"/>
          <w:sz w:val="28"/>
          <w:szCs w:val="28"/>
        </w:rPr>
        <w:t>6</w:t>
      </w:r>
      <w:r>
        <w:rPr>
          <w:rFonts w:hint="eastAsia" w:ascii="Arial" w:hAnsi="Arial" w:cs="Arial"/>
          <w:kern w:val="0"/>
          <w:sz w:val="28"/>
          <w:szCs w:val="28"/>
        </w:rPr>
        <w:t>、对危险废物的安全措施要经常检查，是否落实到位。</w:t>
      </w:r>
      <w:r>
        <w:rPr>
          <w:rFonts w:ascii="仿宋_GB2312" w:eastAsia="仿宋_GB2312"/>
          <w:sz w:val="28"/>
          <w:szCs w:val="28"/>
        </w:rPr>
        <w:br w:type="textWrapping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山东兆邦精细化工有限公司危险废物污染防治信息</w:t>
      </w:r>
    </w:p>
    <w:tbl>
      <w:tblPr>
        <w:tblStyle w:val="10"/>
        <w:tblW w:w="44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11"/>
        <w:gridCol w:w="1561"/>
        <w:gridCol w:w="2158"/>
        <w:gridCol w:w="870"/>
        <w:gridCol w:w="662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660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101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危废类别</w:t>
            </w:r>
          </w:p>
        </w:tc>
        <w:tc>
          <w:tcPr>
            <w:tcW w:w="140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产生环节</w:t>
            </w:r>
          </w:p>
        </w:tc>
        <w:tc>
          <w:tcPr>
            <w:tcW w:w="568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危险特性</w:t>
            </w:r>
          </w:p>
        </w:tc>
        <w:tc>
          <w:tcPr>
            <w:tcW w:w="432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  <w:tc>
          <w:tcPr>
            <w:tcW w:w="549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危废去向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废催化剂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251-017-50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反应器使用失效后的废催化剂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毒性</w:t>
            </w:r>
          </w:p>
        </w:tc>
        <w:tc>
          <w:tcPr>
            <w:tcW w:w="432" w:type="pct"/>
            <w:vMerge w:val="restar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张红光</w:t>
            </w:r>
          </w:p>
        </w:tc>
        <w:tc>
          <w:tcPr>
            <w:tcW w:w="5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山东齐力环保科技有限公司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废导热油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HW08 900-249-08</w:t>
            </w:r>
          </w:p>
        </w:tc>
        <w:tc>
          <w:tcPr>
            <w:tcW w:w="140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导热油炉使用失效的导热油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易燃性,毒性</w:t>
            </w:r>
          </w:p>
        </w:tc>
        <w:tc>
          <w:tcPr>
            <w:tcW w:w="432" w:type="pct"/>
            <w:vMerge w:val="continue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山东中再生环境科技有限公司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废润滑油</w:t>
            </w:r>
          </w:p>
        </w:tc>
        <w:tc>
          <w:tcPr>
            <w:tcW w:w="101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900-217-08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0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设备检修或者更换润滑油</w:t>
            </w:r>
          </w:p>
        </w:tc>
        <w:tc>
          <w:tcPr>
            <w:tcW w:w="568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易燃性,毒性</w:t>
            </w:r>
          </w:p>
        </w:tc>
        <w:tc>
          <w:tcPr>
            <w:tcW w:w="432" w:type="pct"/>
            <w:vMerge w:val="continue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山东中再生环境科技有限公司</w:t>
            </w:r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异丁烯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装置废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催化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剂产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原料MTBE从罐区送至异丁烯装置，送到MTBE进料预热器（E-1103），到MTBE精制塔（T-1101）。精制得到的气相MTBE（117.8℃，0.45MPa）与来自反应器（R-1101）的高温反应产气经反应器进出料换热器（E-1104）换热升温至215℃后进入反应器进料过热器（E-1105）。由导热油进一步加热，升温至反应温度后进入由导热油加热的反应器（R-1101）。进入裂解反应器，在催化剂的作用下裂解为异丁烯和甲醇。根据MTBE的转化率和催化剂的使用寿命要求对催化剂进行更换，更换的催化剂作为危废，进行包装入库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object>
          <v:shape id="_x0000_i1025" o:spt="75" type="#_x0000_t75" style="height:272.7pt;width:414.9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异丁烯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装置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导热油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产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eastAsia="zh-CN"/>
        </w:rPr>
        <w:t>废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工艺说明及工艺</w:t>
      </w:r>
      <w:r>
        <w:rPr>
          <w:rFonts w:hint="eastAsia" w:ascii="宋体" w:hAnsi="宋体" w:eastAsia="宋体" w:cs="宋体"/>
          <w:b w:val="0"/>
          <w:bCs/>
          <w:sz w:val="22"/>
          <w:szCs w:val="22"/>
        </w:rPr>
        <w:t>流程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原料MTBE从罐区送至异丁烯装置，送到MTBE进料预热器（E-1103），到MTBE精制塔（T-1101）。精制得到的气相MTBE（117.8℃，0.45MPa）与来自反应器（R-1101）的高温反应产气经反应器进出料换热器（E-1104）换热升温至215℃后进入反应器进料过热器（E-1105）。由导热油进一步加热，升温至反应温度后进入由导热油加热的反应器（R-1101）。进入裂解反应器，在催化剂的作用下裂解为异丁烯和甲醇。</w:t>
      </w:r>
      <w:r>
        <w:rPr>
          <w:rFonts w:hint="eastAsia" w:ascii="宋体" w:hAnsi="宋体" w:eastAsia="宋体" w:cs="宋体"/>
          <w:b w:val="0"/>
          <w:bCs/>
          <w:sz w:val="22"/>
          <w:szCs w:val="22"/>
          <w:lang w:val="en-US" w:eastAsia="zh-CN"/>
        </w:rPr>
        <w:t>循环导热油和高位槽内导热油通过循环泵送入加热炉，加热后的导热油至装置，并进入低位槽，低位槽内导热油通过注油泵再送至高位槽进行循环利用。低位槽内导热油根据导热油质量指标进行更换，当导热油无法达到使用指标时，需进行更换，产生的废导热油进行包装入库。</w:t>
      </w:r>
    </w:p>
    <w:p>
      <w:pPr>
        <w:jc w:val="both"/>
        <w:rPr>
          <w:rFonts w:hint="eastAsia"/>
        </w:rPr>
      </w:pPr>
      <w:r>
        <w:rPr>
          <w:rFonts w:hint="eastAsia"/>
        </w:rPr>
        <w:object>
          <v:shape id="_x0000_i1026" o:spt="75" type="#_x0000_t75" style="height:316pt;width:414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应急处置措施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一、物料泄漏处置措施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当发现危险废物泄漏时，发现人员马上汇报给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安环部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和车间主任，并且根据物料性质进行先期收集，收集完后，对地面进行冲洗，并将冲洗用水送到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事故应急池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暂存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二、火灾处置措施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t>当发现危废起火后，发现人员马上汇报给</w:t>
      </w:r>
      <w:r>
        <w:rPr>
          <w:rFonts w:hint="eastAsia" w:eastAsia="宋体" w:cs="宋体"/>
          <w:sz w:val="28"/>
          <w:szCs w:val="28"/>
          <w:lang w:val="en-US" w:eastAsia="zh-CN"/>
        </w:rPr>
        <w:t>安环部</w:t>
      </w:r>
      <w:r>
        <w:rPr>
          <w:rFonts w:hint="eastAsia" w:ascii="宋体" w:hAnsi="宋体" w:eastAsia="宋体" w:cs="宋体"/>
          <w:sz w:val="28"/>
          <w:szCs w:val="28"/>
        </w:rPr>
        <w:t>、车间主任以及消防</w:t>
      </w:r>
      <w:r>
        <w:rPr>
          <w:rFonts w:hint="eastAsia" w:eastAsia="宋体" w:cs="宋体"/>
          <w:sz w:val="28"/>
          <w:szCs w:val="28"/>
          <w:lang w:val="en-US" w:eastAsia="zh-CN"/>
        </w:rPr>
        <w:t>队</w:t>
      </w:r>
      <w:r>
        <w:rPr>
          <w:rFonts w:hint="eastAsia" w:ascii="宋体" w:hAnsi="宋体" w:eastAsia="宋体" w:cs="宋体"/>
          <w:sz w:val="28"/>
          <w:szCs w:val="28"/>
        </w:rPr>
        <w:t>，并在救援协助人员到达之前，进行先期处置，等协助救援人员达到以后，根据物料性质采取针对性的灭火处置方式。在处置过程中要做好个人防护。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应急响应流程图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2739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事故联络人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赵壮壮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危废库保管员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13774976120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张红光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异丁烯车间主任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15154368926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杨燕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环保员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15964435500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唐世汹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质检部主任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14753098409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10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李长炉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动力车间主任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13184064587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杨秋菊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18054491426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石青竹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环保工程师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15205303300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马建新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安环部部长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18366913727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0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5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胡思新</w:t>
            </w:r>
          </w:p>
        </w:tc>
        <w:tc>
          <w:tcPr>
            <w:tcW w:w="2739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分管副总</w:t>
            </w:r>
          </w:p>
        </w:tc>
        <w:tc>
          <w:tcPr>
            <w:tcW w:w="2131" w:type="dxa"/>
          </w:tcPr>
          <w:p>
            <w:pPr>
              <w:spacing w:after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15053053473</w:t>
            </w:r>
          </w:p>
        </w:tc>
      </w:tr>
    </w:tbl>
    <w:p>
      <w:r>
        <w:pict>
          <v:shape id="_x0000_s1026" o:spid="_x0000_s1026" o:spt="32" type="#_x0000_t32" style="position:absolute;left:0pt;margin-left:89.25pt;margin-top:198.3pt;height:27pt;width:0.75pt;z-index:25167257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27" o:spid="_x0000_s1027" o:spt="1" style="position:absolute;left:0pt;margin-left:43.5pt;margin-top:229.05pt;height:42.75pt;width:93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清理现场</w:t>
                  </w:r>
                </w:p>
              </w:txbxContent>
            </v:textbox>
          </v:rect>
        </w:pict>
      </w:r>
      <w:r>
        <w:pict>
          <v:shape id="_x0000_s1028" o:spid="_x0000_s1028" o:spt="32" type="#_x0000_t32" style="position:absolute;left:0pt;flip:x;margin-left:136.5pt;margin-top:175.8pt;height:0pt;width:36.75pt;z-index:25167052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29" o:spid="_x0000_s1029" o:spt="32" type="#_x0000_t32" style="position:absolute;left:0pt;margin-left:219.75pt;margin-top:128.55pt;height:27pt;width:0.7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0" o:spid="_x0000_s1030" o:spt="1" style="position:absolute;left:0pt;margin-left:173.25pt;margin-top:155.55pt;height:42.75pt;width:93pt;z-index:251669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43.5pt;margin-top:155.55pt;height:42.75pt;width:93pt;z-index:2516633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应急救援</w:t>
                  </w:r>
                </w:p>
              </w:txbxContent>
            </v:textbox>
          </v:rect>
        </w:pict>
      </w:r>
      <w:r>
        <w:pict>
          <v:rect id="_x0000_s1032" o:spid="_x0000_s1032" o:spt="1" style="position:absolute;left:0pt;margin-left:173.25pt;margin-top:85.8pt;height:42.75pt;width:93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上报安环部</w:t>
                  </w:r>
                </w:p>
              </w:txbxContent>
            </v:textbox>
          </v:rect>
        </w:pict>
      </w:r>
      <w:r>
        <w:pict>
          <v:rect id="_x0000_s1033" o:spid="_x0000_s1033" o:spt="1" style="position:absolute;left:0pt;margin-left:303pt;margin-top:85.8pt;height:42.75pt;width:93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上报分管副总</w:t>
                  </w:r>
                </w:p>
              </w:txbxContent>
            </v:textbox>
          </v:rect>
        </w:pict>
      </w:r>
      <w:r>
        <w:pict>
          <v:shape id="_x0000_s1034" o:spid="_x0000_s1034" o:spt="32" type="#_x0000_t32" style="position:absolute;left:0pt;margin-left:266.25pt;margin-top:103.05pt;height:0pt;width:36.7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5" o:spid="_x0000_s1035" o:spt="32" type="#_x0000_t32" style="position:absolute;left:0pt;margin-left:136.5pt;margin-top:103.05pt;height:0pt;width:36.75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6" o:spid="_x0000_s1036" o:spt="1" style="position:absolute;left:0pt;margin-left:43.5pt;margin-top:85.8pt;height:42.75pt;width:93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</w:rPr>
                    <w:t>上报车间主任、消防</w:t>
                  </w:r>
                  <w:r>
                    <w:rPr>
                      <w:rFonts w:hint="eastAsia"/>
                      <w:lang w:val="en-US" w:eastAsia="zh-CN"/>
                    </w:rPr>
                    <w:t>队</w:t>
                  </w:r>
                </w:p>
              </w:txbxContent>
            </v:textbox>
          </v:rect>
        </w:pict>
      </w:r>
      <w:r>
        <w:pict>
          <v:shape id="_x0000_s1037" o:spid="_x0000_s1037" o:spt="32" type="#_x0000_t32" style="position:absolute;left:0pt;margin-left:90pt;margin-top:128.55pt;height:27pt;width:0.7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shape id="_x0000_s1038" o:spid="_x0000_s1038" o:spt="32" type="#_x0000_t32" style="position:absolute;left:0pt;margin-left:90.75pt;margin-top:58.8pt;height:27pt;width:0.7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pict>
          <v:rect id="_x0000_s1039" o:spid="_x0000_s1039" o:spt="1" style="position:absolute;left:0pt;margin-left:49.5pt;margin-top:16.05pt;height:42.75pt;width:80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left"/>
                  </w:pPr>
                  <w:r>
                    <w:rPr>
                      <w:rFonts w:hint="eastAsia"/>
                    </w:rPr>
                    <w:t>发现事故</w:t>
                  </w:r>
                </w:p>
              </w:txbxContent>
            </v:textbox>
          </v:rect>
        </w:pict>
      </w:r>
    </w:p>
    <w:p>
      <w:r>
        <w:br w:type="page"/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山东兆邦精细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化工有限公司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危险废物管理组织架构图</w:t>
      </w:r>
    </w:p>
    <w:p>
      <w:pPr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eastAsia="黑体"/>
          <w:color w:val="000000"/>
        </w:rPr>
        <w:object>
          <v:shape id="_x0000_i1027" o:spt="75" type="#_x0000_t75" style="height:378.4pt;width:392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Visio.Drawing.11" ShapeID="_x0000_i1027" DrawAspect="Content" ObjectID="_1468075727" r:id="rId8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02E9"/>
    <w:rsid w:val="00315736"/>
    <w:rsid w:val="00ED61BF"/>
    <w:rsid w:val="017645B9"/>
    <w:rsid w:val="0202578E"/>
    <w:rsid w:val="03050801"/>
    <w:rsid w:val="045F0EED"/>
    <w:rsid w:val="089F1205"/>
    <w:rsid w:val="08C104DA"/>
    <w:rsid w:val="0A793E61"/>
    <w:rsid w:val="0A7C671A"/>
    <w:rsid w:val="0AF54552"/>
    <w:rsid w:val="0B374914"/>
    <w:rsid w:val="0C8F2DE5"/>
    <w:rsid w:val="0CC01654"/>
    <w:rsid w:val="0E6B35F1"/>
    <w:rsid w:val="0E9646F6"/>
    <w:rsid w:val="10442560"/>
    <w:rsid w:val="106A7331"/>
    <w:rsid w:val="1101636F"/>
    <w:rsid w:val="11EF1F7F"/>
    <w:rsid w:val="13F42A42"/>
    <w:rsid w:val="14662896"/>
    <w:rsid w:val="147C22BE"/>
    <w:rsid w:val="14F81A08"/>
    <w:rsid w:val="14FF0BCD"/>
    <w:rsid w:val="15784EF3"/>
    <w:rsid w:val="160125B4"/>
    <w:rsid w:val="16556548"/>
    <w:rsid w:val="17B90B6C"/>
    <w:rsid w:val="183C7AB7"/>
    <w:rsid w:val="19813323"/>
    <w:rsid w:val="19BB789B"/>
    <w:rsid w:val="19F36A92"/>
    <w:rsid w:val="1AFA2CD6"/>
    <w:rsid w:val="1C5A2F2A"/>
    <w:rsid w:val="1C5A5E97"/>
    <w:rsid w:val="1D8333EA"/>
    <w:rsid w:val="1E13528C"/>
    <w:rsid w:val="1E6A4173"/>
    <w:rsid w:val="1E7203BC"/>
    <w:rsid w:val="20494657"/>
    <w:rsid w:val="20A95400"/>
    <w:rsid w:val="211F1DC7"/>
    <w:rsid w:val="21E9278E"/>
    <w:rsid w:val="23794D61"/>
    <w:rsid w:val="24050595"/>
    <w:rsid w:val="24D72ED2"/>
    <w:rsid w:val="271A1ED9"/>
    <w:rsid w:val="27BA37B3"/>
    <w:rsid w:val="289E6C31"/>
    <w:rsid w:val="2972138A"/>
    <w:rsid w:val="2B550D54"/>
    <w:rsid w:val="2B7A17CF"/>
    <w:rsid w:val="2BB95A4D"/>
    <w:rsid w:val="2C5076E0"/>
    <w:rsid w:val="2CEE4D5D"/>
    <w:rsid w:val="2D4330FC"/>
    <w:rsid w:val="2EFC4D56"/>
    <w:rsid w:val="302451E0"/>
    <w:rsid w:val="30745700"/>
    <w:rsid w:val="308F0E4B"/>
    <w:rsid w:val="31A14F3A"/>
    <w:rsid w:val="32F920ED"/>
    <w:rsid w:val="330E68A6"/>
    <w:rsid w:val="33952D5B"/>
    <w:rsid w:val="35B0022F"/>
    <w:rsid w:val="392B2DE4"/>
    <w:rsid w:val="3A3B09BA"/>
    <w:rsid w:val="3BA166F7"/>
    <w:rsid w:val="3C321B58"/>
    <w:rsid w:val="3C8B5017"/>
    <w:rsid w:val="3CAC1ED2"/>
    <w:rsid w:val="3F202AE8"/>
    <w:rsid w:val="3FCA1F94"/>
    <w:rsid w:val="406959B2"/>
    <w:rsid w:val="40CE3036"/>
    <w:rsid w:val="418D7A30"/>
    <w:rsid w:val="41EC12DE"/>
    <w:rsid w:val="42900B68"/>
    <w:rsid w:val="45563EA4"/>
    <w:rsid w:val="46390998"/>
    <w:rsid w:val="467643F9"/>
    <w:rsid w:val="46A33A66"/>
    <w:rsid w:val="4922348E"/>
    <w:rsid w:val="498A6404"/>
    <w:rsid w:val="49EF2AC9"/>
    <w:rsid w:val="4C61348F"/>
    <w:rsid w:val="4D8F5457"/>
    <w:rsid w:val="4E44391D"/>
    <w:rsid w:val="4E8A2CB4"/>
    <w:rsid w:val="4F1464F5"/>
    <w:rsid w:val="4F2001BD"/>
    <w:rsid w:val="4F860392"/>
    <w:rsid w:val="504739AF"/>
    <w:rsid w:val="51634F55"/>
    <w:rsid w:val="531211F2"/>
    <w:rsid w:val="59C47CFC"/>
    <w:rsid w:val="5ADE0258"/>
    <w:rsid w:val="5B2324E1"/>
    <w:rsid w:val="5B3A4C2D"/>
    <w:rsid w:val="5BB00880"/>
    <w:rsid w:val="5DA46BF2"/>
    <w:rsid w:val="5E1C7DBF"/>
    <w:rsid w:val="5F562410"/>
    <w:rsid w:val="60456C19"/>
    <w:rsid w:val="60C96B2F"/>
    <w:rsid w:val="60CA3059"/>
    <w:rsid w:val="61314A5B"/>
    <w:rsid w:val="61B778DB"/>
    <w:rsid w:val="620B1177"/>
    <w:rsid w:val="644F2807"/>
    <w:rsid w:val="64921159"/>
    <w:rsid w:val="684C095C"/>
    <w:rsid w:val="68C84358"/>
    <w:rsid w:val="68D91956"/>
    <w:rsid w:val="69955251"/>
    <w:rsid w:val="69CE49BC"/>
    <w:rsid w:val="6A19600C"/>
    <w:rsid w:val="6A99453E"/>
    <w:rsid w:val="6B3E6887"/>
    <w:rsid w:val="6B4F12DA"/>
    <w:rsid w:val="6C3A4966"/>
    <w:rsid w:val="6D2D6CED"/>
    <w:rsid w:val="6DD31D3F"/>
    <w:rsid w:val="6F147E2A"/>
    <w:rsid w:val="6F4E13D9"/>
    <w:rsid w:val="718451BA"/>
    <w:rsid w:val="7187510E"/>
    <w:rsid w:val="72013033"/>
    <w:rsid w:val="735A052E"/>
    <w:rsid w:val="7480125A"/>
    <w:rsid w:val="78593676"/>
    <w:rsid w:val="797F5912"/>
    <w:rsid w:val="7A366002"/>
    <w:rsid w:val="7B7950C9"/>
    <w:rsid w:val="7B827C15"/>
    <w:rsid w:val="7B875F35"/>
    <w:rsid w:val="7BDA567F"/>
    <w:rsid w:val="7C370DFC"/>
    <w:rsid w:val="7FB91CA4"/>
    <w:rsid w:val="7FDC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4"/>
        <o:r id="V:Rule5" type="connector" idref="#_x0000_s1035"/>
        <o:r id="V:Rule6" type="connector" idref="#_x0000_s1037"/>
        <o:r id="V:Rule7" type="connector" idref="#_x0000_s103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adjustRightInd w:val="0"/>
      <w:snapToGrid w:val="0"/>
      <w:spacing w:after="200" w:line="540" w:lineRule="exact"/>
      <w:ind w:firstLine="560" w:firstLineChars="200"/>
      <w:jc w:val="left"/>
    </w:pPr>
    <w:rPr>
      <w:rFonts w:ascii="宋体" w:hAnsi="宋体" w:eastAsia="微软雅黑" w:cstheme="minorBidi"/>
      <w:color w:val="FF0000"/>
      <w:kern w:val="2"/>
      <w:sz w:val="28"/>
      <w:szCs w:val="28"/>
    </w:rPr>
  </w:style>
  <w:style w:type="paragraph" w:styleId="3">
    <w:name w:val="Balloon Text"/>
    <w:basedOn w:val="1"/>
    <w:link w:val="13"/>
    <w:uiPriority w:val="0"/>
    <w:pPr>
      <w:widowControl/>
      <w:adjustRightInd w:val="0"/>
      <w:snapToGrid w:val="0"/>
      <w:spacing w:after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2"/>
    <w:next w:val="1"/>
    <w:uiPriority w:val="0"/>
    <w:pPr>
      <w:ind w:firstLine="420" w:firstLineChars="200"/>
    </w:p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rFonts w:ascii="Times New Roman" w:hAnsi="Times New Roman" w:eastAsia="宋体" w:cs="Times New Roman"/>
      <w:color w:val="333333"/>
      <w:u w:val="none"/>
    </w:rPr>
  </w:style>
  <w:style w:type="character" w:customStyle="1" w:styleId="13">
    <w:name w:val="批注框文本 Char"/>
    <w:basedOn w:val="11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reader-word-layer reader-word-s1-3"/>
    <w:basedOn w:val="1"/>
    <w:uiPriority w:val="0"/>
    <w:pPr>
      <w:widowControl/>
      <w:adjustRightInd w:val="0"/>
      <w:snapToGrid w:val="0"/>
      <w:spacing w:before="100" w:beforeLines="0" w:beforeAutospacing="1" w:after="100" w:afterLines="0" w:afterAutospacing="1"/>
      <w:jc w:val="left"/>
    </w:pPr>
    <w:rPr>
      <w:rFonts w:ascii="宋体" w:hAnsi="宋体" w:eastAsia="微软雅黑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348</Characters>
  <Lines>2</Lines>
  <Paragraphs>1</Paragraphs>
  <TotalTime>6</TotalTime>
  <ScaleCrop>false</ScaleCrop>
  <LinksUpToDate>false</LinksUpToDate>
  <CharactersWithSpaces>407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2020-10-25T04:51:00Z</dcterms:created>
  <dc:creator>User</dc:creator>
  <cp:lastModifiedBy>WPS_1509025691</cp:lastModifiedBy>
  <cp:lastPrinted>2021-01-21T06:13:00Z</cp:lastPrinted>
  <dcterms:modified xsi:type="dcterms:W3CDTF">2021-12-02T00:52:17Z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8D98E4A5712A4F499E977CD5F0409F84</vt:lpwstr>
  </property>
</Properties>
</file>